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43A" w:rsidRPr="0063673E" w:rsidRDefault="00A4043A" w:rsidP="004640F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3673E">
        <w:rPr>
          <w:rFonts w:ascii="Times New Roman" w:hAnsi="Times New Roman" w:cs="Times New Roman"/>
          <w:b/>
          <w:i/>
          <w:sz w:val="28"/>
          <w:szCs w:val="28"/>
        </w:rPr>
        <w:t>Назарик</w:t>
      </w:r>
      <w:proofErr w:type="spellEnd"/>
      <w:r w:rsidR="009310AB" w:rsidRPr="005B21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3673E">
        <w:rPr>
          <w:rFonts w:ascii="Times New Roman" w:hAnsi="Times New Roman" w:cs="Times New Roman"/>
          <w:b/>
          <w:i/>
          <w:sz w:val="28"/>
          <w:szCs w:val="28"/>
        </w:rPr>
        <w:t>Наталія</w:t>
      </w:r>
      <w:proofErr w:type="spellEnd"/>
      <w:proofErr w:type="gramEnd"/>
      <w:r w:rsidR="009310AB" w:rsidRPr="005B21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673E">
        <w:rPr>
          <w:rFonts w:ascii="Times New Roman" w:hAnsi="Times New Roman" w:cs="Times New Roman"/>
          <w:b/>
          <w:i/>
          <w:sz w:val="28"/>
          <w:szCs w:val="28"/>
        </w:rPr>
        <w:t>Василівна</w:t>
      </w:r>
      <w:proofErr w:type="spellEnd"/>
      <w:r w:rsidRPr="0063673E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A4043A" w:rsidRPr="0063673E" w:rsidRDefault="00A4043A" w:rsidP="004640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673E">
        <w:rPr>
          <w:rFonts w:ascii="Times New Roman" w:hAnsi="Times New Roman" w:cs="Times New Roman"/>
          <w:sz w:val="28"/>
          <w:szCs w:val="28"/>
          <w:lang w:val="uk-UA"/>
        </w:rPr>
        <w:t xml:space="preserve">в. о. директора  Центру </w:t>
      </w:r>
    </w:p>
    <w:p w:rsidR="00A4043A" w:rsidRPr="0063673E" w:rsidRDefault="00A4043A" w:rsidP="004640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673E">
        <w:rPr>
          <w:rFonts w:ascii="Times New Roman" w:hAnsi="Times New Roman" w:cs="Times New Roman"/>
          <w:sz w:val="28"/>
          <w:szCs w:val="28"/>
          <w:lang w:val="uk-UA"/>
        </w:rPr>
        <w:t xml:space="preserve">науково-технічної, дитячої  </w:t>
      </w:r>
    </w:p>
    <w:p w:rsidR="00A4043A" w:rsidRPr="0063673E" w:rsidRDefault="00A4043A" w:rsidP="004640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673E">
        <w:rPr>
          <w:rFonts w:ascii="Times New Roman" w:hAnsi="Times New Roman" w:cs="Times New Roman"/>
          <w:sz w:val="28"/>
          <w:szCs w:val="28"/>
          <w:lang w:val="uk-UA"/>
        </w:rPr>
        <w:t>та юнацької творчості</w:t>
      </w:r>
    </w:p>
    <w:p w:rsidR="00A4043A" w:rsidRPr="0063673E" w:rsidRDefault="00A4043A" w:rsidP="004640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673E">
        <w:rPr>
          <w:rFonts w:ascii="Times New Roman" w:hAnsi="Times New Roman" w:cs="Times New Roman"/>
          <w:sz w:val="28"/>
          <w:szCs w:val="28"/>
          <w:lang w:val="uk-UA"/>
        </w:rPr>
        <w:t xml:space="preserve">Рахівської міської ради, </w:t>
      </w:r>
    </w:p>
    <w:p w:rsidR="00A4043A" w:rsidRPr="0063673E" w:rsidRDefault="00A4043A" w:rsidP="004640F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3673E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310AB" w:rsidRPr="00464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73E">
        <w:rPr>
          <w:rFonts w:ascii="Times New Roman" w:hAnsi="Times New Roman" w:cs="Times New Roman"/>
          <w:sz w:val="28"/>
          <w:szCs w:val="28"/>
          <w:lang w:val="uk-UA"/>
        </w:rPr>
        <w:t>Рахів</w:t>
      </w:r>
    </w:p>
    <w:p w:rsidR="00A4043A" w:rsidRPr="004640F0" w:rsidRDefault="00A4043A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043A" w:rsidRPr="00A4043A" w:rsidRDefault="004640F0" w:rsidP="004640F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Місце і роль</w:t>
      </w:r>
      <w:r w:rsidR="00A4043A" w:rsidRPr="00A4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закладу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позашкільної освіти</w:t>
      </w:r>
      <w:r w:rsidR="00A4043A" w:rsidRPr="00A4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в територіальній громаді</w:t>
      </w:r>
    </w:p>
    <w:p w:rsidR="004640F0" w:rsidRDefault="004640F0" w:rsidP="004640F0">
      <w:pPr>
        <w:pStyle w:val="Standard"/>
        <w:spacing w:line="360" w:lineRule="auto"/>
        <w:ind w:left="-57" w:right="-170"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F97173" w:rsidRPr="0063673E" w:rsidRDefault="00F97173" w:rsidP="004640F0">
      <w:pPr>
        <w:pStyle w:val="Standard"/>
        <w:spacing w:line="360" w:lineRule="auto"/>
        <w:ind w:left="-57" w:right="-170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63673E">
        <w:rPr>
          <w:rFonts w:ascii="Times New Roman" w:hAnsi="Times New Roman" w:cs="Times New Roman"/>
          <w:sz w:val="28"/>
          <w:szCs w:val="28"/>
        </w:rPr>
        <w:t>Позашкільна освіта становить цінність для держави, суспільства, громади, дітей, батьків.</w:t>
      </w:r>
    </w:p>
    <w:p w:rsidR="00F97173" w:rsidRPr="0063673E" w:rsidRDefault="00F97173" w:rsidP="004640F0">
      <w:pPr>
        <w:pStyle w:val="Standard"/>
        <w:spacing w:line="360" w:lineRule="auto"/>
        <w:ind w:left="-57" w:right="-170"/>
        <w:jc w:val="both"/>
        <w:rPr>
          <w:rFonts w:ascii="Times New Roman" w:hAnsi="Times New Roman" w:cs="Times New Roman"/>
          <w:sz w:val="28"/>
          <w:szCs w:val="28"/>
        </w:rPr>
      </w:pPr>
      <w:r w:rsidRPr="0063673E">
        <w:rPr>
          <w:rFonts w:ascii="Times New Roman" w:hAnsi="Times New Roman" w:cs="Times New Roman"/>
          <w:sz w:val="28"/>
          <w:szCs w:val="28"/>
        </w:rPr>
        <w:tab/>
      </w:r>
      <w:r w:rsidR="00762669" w:rsidRPr="0063673E">
        <w:rPr>
          <w:rFonts w:ascii="Times New Roman" w:hAnsi="Times New Roman" w:cs="Times New Roman"/>
          <w:sz w:val="28"/>
          <w:szCs w:val="28"/>
        </w:rPr>
        <w:tab/>
      </w:r>
      <w:r w:rsidRPr="0063673E">
        <w:rPr>
          <w:rFonts w:ascii="Times New Roman" w:hAnsi="Times New Roman" w:cs="Times New Roman"/>
          <w:sz w:val="28"/>
          <w:szCs w:val="28"/>
        </w:rPr>
        <w:t>Саме позашкільна освіта допомагає розвинути здібності і таланти дитини, які можуть бути корисними для неї як зараз, так і в дорослому житті, при виборі майбутньої професії.</w:t>
      </w:r>
    </w:p>
    <w:p w:rsidR="00170B5F" w:rsidRPr="0063673E" w:rsidRDefault="009310AB" w:rsidP="004640F0">
      <w:pPr>
        <w:pStyle w:val="Standard"/>
        <w:spacing w:line="360" w:lineRule="auto"/>
        <w:ind w:left="-57" w:right="-17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Відмінність між позашкільною та середньою</w:t>
      </w:r>
      <w:r w:rsidR="00170B5F" w:rsidRPr="0063673E">
        <w:rPr>
          <w:rFonts w:ascii="Times New Roman" w:hAnsi="Times New Roman" w:cs="Times New Roman"/>
          <w:sz w:val="28"/>
          <w:szCs w:val="28"/>
        </w:rPr>
        <w:t xml:space="preserve"> освітою п</w:t>
      </w:r>
      <w:r>
        <w:rPr>
          <w:rFonts w:ascii="Times New Roman" w:hAnsi="Times New Roman" w:cs="Times New Roman"/>
          <w:sz w:val="28"/>
          <w:szCs w:val="28"/>
        </w:rPr>
        <w:t>олягає в тому, що, як правило, загальна середня</w:t>
      </w:r>
      <w:r w:rsidR="00170B5F" w:rsidRPr="0063673E">
        <w:rPr>
          <w:rFonts w:ascii="Times New Roman" w:hAnsi="Times New Roman" w:cs="Times New Roman"/>
          <w:sz w:val="28"/>
          <w:szCs w:val="28"/>
        </w:rPr>
        <w:t xml:space="preserve"> освіта зорієнтована на середнього учня, на середні здібності та середні знання. А якщо мова йде про розвиток здібностей і обдарувань, то для цього традиційно й існує позашкілля. Так само є відмінності і між вчителем та керівником гуртка.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0B5F" w:rsidRPr="0063673E">
        <w:rPr>
          <w:rFonts w:ascii="Times New Roman" w:hAnsi="Times New Roman" w:cs="Times New Roman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sz w:val="28"/>
          <w:szCs w:val="28"/>
        </w:rPr>
        <w:t xml:space="preserve">загальноосвітнього закладу </w:t>
      </w:r>
      <w:r w:rsidR="00170B5F" w:rsidRPr="0063673E">
        <w:rPr>
          <w:rFonts w:ascii="Times New Roman" w:hAnsi="Times New Roman" w:cs="Times New Roman"/>
          <w:sz w:val="28"/>
          <w:szCs w:val="28"/>
        </w:rPr>
        <w:t xml:space="preserve">у кращому становищі, ніж керівник гуртка. Яким би не був учитель, до нього все одно прийдуть діти. Він може не докладати значних зусиль, щоб їх зацікавити, і все одно буде з роботою. А керівник гуртка в закладі позашкільної освіти має докласти великих зусиль, щоб до нього йшли діти. </w:t>
      </w:r>
      <w:r>
        <w:rPr>
          <w:rFonts w:ascii="Times New Roman" w:hAnsi="Times New Roman" w:cs="Times New Roman"/>
          <w:sz w:val="28"/>
          <w:szCs w:val="28"/>
        </w:rPr>
        <w:t xml:space="preserve">Не буде дітей — не буде роботи, не буде творчої та обдарованої молоді </w:t>
      </w:r>
      <w:r w:rsidR="00BC7E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EC3">
        <w:rPr>
          <w:rFonts w:ascii="Times New Roman" w:hAnsi="Times New Roman" w:cs="Times New Roman"/>
          <w:sz w:val="28"/>
          <w:szCs w:val="28"/>
        </w:rPr>
        <w:t>не буде майбутнього України.</w:t>
      </w:r>
    </w:p>
    <w:p w:rsidR="00F97173" w:rsidRPr="0063673E" w:rsidRDefault="00762669" w:rsidP="004640F0">
      <w:pPr>
        <w:pStyle w:val="Standard"/>
        <w:spacing w:line="360" w:lineRule="auto"/>
        <w:ind w:left="-57" w:right="-170"/>
        <w:jc w:val="both"/>
        <w:rPr>
          <w:rFonts w:ascii="Times New Roman" w:hAnsi="Times New Roman" w:cs="Times New Roman"/>
          <w:sz w:val="28"/>
          <w:szCs w:val="28"/>
        </w:rPr>
      </w:pPr>
      <w:r w:rsidRPr="0063673E">
        <w:rPr>
          <w:rFonts w:ascii="Times New Roman" w:hAnsi="Times New Roman" w:cs="Times New Roman"/>
          <w:sz w:val="28"/>
          <w:szCs w:val="28"/>
        </w:rPr>
        <w:tab/>
      </w:r>
      <w:r w:rsidR="00F97173" w:rsidRPr="0063673E">
        <w:rPr>
          <w:rFonts w:ascii="Times New Roman" w:hAnsi="Times New Roman" w:cs="Times New Roman"/>
          <w:sz w:val="28"/>
          <w:szCs w:val="28"/>
        </w:rPr>
        <w:tab/>
        <w:t>В умовах сьогодення практика засвідчує необхідність актуалізувати питання позашкільної освіти, адже функціонування позашкільного закладу в умовах децентралізації відповідає на свої виклики, оскільки має бути створений баланс між інтересами дітей, батьків, правом вибору того чи іншого гуртка, де хоче навчатися дитина.</w:t>
      </w:r>
    </w:p>
    <w:p w:rsidR="00A4043A" w:rsidRPr="00A4043A" w:rsidRDefault="00A4043A" w:rsidP="00464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Розглянемо детальніше, яке місце та роль займає позашкільний заклад у сучасній територіальній громаді.</w:t>
      </w:r>
    </w:p>
    <w:p w:rsidR="00A4043A" w:rsidRPr="00A4043A" w:rsidRDefault="00A4043A" w:rsidP="004640F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1. </w:t>
      </w:r>
      <w:r w:rsidRPr="006367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Освітня функція</w:t>
      </w:r>
    </w:p>
    <w:p w:rsidR="00A4043A" w:rsidRPr="00A4043A" w:rsidRDefault="00A4043A" w:rsidP="00464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Позашкільні заклади забезпечують доповнення до </w:t>
      </w:r>
      <w:r w:rsidR="009310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загальної середньої </w:t>
      </w: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освіти, пропонуючи різноманітні гуртки, секції та студії за інтересами: від художньої творчості, музики та танців до технічних наук, спорту й екології. Це дає дітям можливість розвивати свої </w:t>
      </w:r>
      <w:r w:rsidR="00BB3819" w:rsidRPr="00636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здібності і </w:t>
      </w: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таланти, вдосконалювати навички та отримувати нові знання поза межами традиційної навчальної програми</w:t>
      </w:r>
      <w:r w:rsidR="00BB3819" w:rsidRPr="00636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розвивати креативність</w:t>
      </w: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4640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відміну від школи, у закладі позашкільної освіти</w:t>
      </w:r>
      <w:r w:rsidR="00636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діти опановують поглиблені знання з певного виду творчості: їх в школі не навчать різьбленню по дереву, </w:t>
      </w:r>
      <w:r w:rsidR="00C355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вони не мають ґрунтовних знань по хореографії чи бальних танцях, не досконало володіють акторськими навичками чи театральним мистецтвом, </w:t>
      </w:r>
      <w:r w:rsidR="00F962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тут </w:t>
      </w:r>
      <w:r w:rsidR="00C355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дізнаються про техніку розпису на тканині – батику тощо ...</w:t>
      </w:r>
    </w:p>
    <w:p w:rsidR="00A4043A" w:rsidRPr="00A4043A" w:rsidRDefault="00A4043A" w:rsidP="004640F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2. </w:t>
      </w:r>
      <w:r w:rsidRPr="006367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Соціалізація і виховання</w:t>
      </w:r>
    </w:p>
    <w:p w:rsidR="00003A94" w:rsidRPr="0063673E" w:rsidRDefault="00F96273" w:rsidP="004640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3673E" w:rsidRPr="00636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Заклади позашкільної освіти </w:t>
      </w:r>
      <w:r w:rsidR="00A4043A"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сприяють соціалізації дітей, допомагаючи їм формувати цінності, розвивати комунікативні навички та вчитися співпраці. </w:t>
      </w:r>
      <w:r w:rsidR="00003A94" w:rsidRPr="00636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Якщо школа є елементом обов'язковості, то позашкілля — це виключно елемент добровільності та бажання ходити розвивати свої інтереси та здібності.</w:t>
      </w:r>
    </w:p>
    <w:p w:rsidR="00BB3819" w:rsidRPr="0063673E" w:rsidRDefault="00F96273" w:rsidP="004640F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C14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B3819" w:rsidRPr="003C14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гуртках  діти об'єднуються за спільними інтересами — музикою, спортом, творчістю або наукою. Це сприяє побудові дружніх стосунків, розвитку відчуття приналежності до колективу та здатності до взаємодопомоги. Тут вони вчаться спілкуватися, домовлятися, ви</w:t>
      </w:r>
      <w:r w:rsidR="00BC7E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рішувати конфлікти, висловлювати свою думку, реалізовувати свої творчі задуми та ідеї.</w:t>
      </w:r>
      <w:r w:rsidR="00BB3819" w:rsidRPr="003C14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виконання різних колективних </w:t>
      </w:r>
      <w:proofErr w:type="spellStart"/>
      <w:r w:rsidR="00BB3819" w:rsidRPr="003C14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проєктів</w:t>
      </w:r>
      <w:proofErr w:type="spellEnd"/>
      <w:r w:rsidR="00BB3819" w:rsidRPr="003C14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вчить дітей працювати в команді, розподіляти обов'язки, відповідально ставитися до результатів своєї діяльності. Тут же у них формуються і дисципліна, і моральні цінності, і </w:t>
      </w:r>
      <w:r w:rsidRPr="003C14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патріотизм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 </w:t>
      </w:r>
      <w:r w:rsidR="00BB3819" w:rsidRPr="00636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громадянська свідомість.</w:t>
      </w:r>
    </w:p>
    <w:p w:rsidR="00A4043A" w:rsidRPr="00A4043A" w:rsidRDefault="00A4043A" w:rsidP="004640F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3. </w:t>
      </w:r>
      <w:r w:rsidRPr="006367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Культурний центр громади</w:t>
      </w:r>
    </w:p>
    <w:p w:rsidR="00A4043A" w:rsidRPr="0063673E" w:rsidRDefault="00A4043A" w:rsidP="00464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Позашкільні установи часто є центрами культурного життя громади, де організовуються концерти, виставки, театральні постановки та інші події. Такі заходи зміцнюють зв'язки між поколіннями, створюють умови для активної участі у громадському житті та сприяють культурному розвитку всієї громади.</w:t>
      </w:r>
    </w:p>
    <w:p w:rsidR="002D3D0D" w:rsidRPr="0063673E" w:rsidRDefault="002D3D0D" w:rsidP="004640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73E">
        <w:rPr>
          <w:rFonts w:ascii="Times New Roman" w:hAnsi="Times New Roman" w:cs="Times New Roman"/>
          <w:sz w:val="28"/>
          <w:szCs w:val="28"/>
          <w:lang w:val="uk-UA"/>
        </w:rPr>
        <w:t>Центр науково-технічної, дитячої та юнацької творчості проводить</w:t>
      </w:r>
      <w:r w:rsidR="00BC7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673E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Pr="0063673E">
        <w:rPr>
          <w:rFonts w:ascii="Times New Roman" w:hAnsi="Times New Roman" w:cs="Times New Roman"/>
          <w:sz w:val="28"/>
          <w:szCs w:val="28"/>
          <w:lang w:val="uk-UA"/>
        </w:rPr>
        <w:t xml:space="preserve"> роботу між  учнями територіальної громади: ІІІ відкритий фестиваль хореографічного мистецтва «У ВИХОРІ ТАНЦЮ», ІІІ відкритий конкурс читців «І знову ллється слово рідне» (художньо-естетичний напрям),  виставка-конкурс «Великоднє диво» (декоративно-ужитковий напрям) та інтелектуально-розважальна командна гра «Найрозумніші». Крім цих масштабних заходів заклад щорічно проводить святкові концерти, виставки та майстер-класи, де залучаються педагоги всіх закладів освіти та учні територіальної громади: проведення святкових концертів «З Днем працівників освіти» та до Дня захисту дітей, відзначення Революції Гідності та Свободи, майстер-класи по хореографії та писанкарству тощо</w:t>
      </w:r>
      <w:r w:rsidR="00BC7EC3">
        <w:rPr>
          <w:rFonts w:ascii="Times New Roman" w:hAnsi="Times New Roman" w:cs="Times New Roman"/>
          <w:sz w:val="28"/>
          <w:szCs w:val="28"/>
          <w:lang w:val="uk-UA"/>
        </w:rPr>
        <w:t xml:space="preserve">. Поряд з цим ЦНТДЮТ постійно долучається до спільної </w:t>
      </w:r>
      <w:r w:rsidR="00F214CD">
        <w:rPr>
          <w:rFonts w:ascii="Times New Roman" w:hAnsi="Times New Roman" w:cs="Times New Roman"/>
          <w:sz w:val="28"/>
          <w:szCs w:val="28"/>
          <w:lang w:val="uk-UA"/>
        </w:rPr>
        <w:t xml:space="preserve">культурно-просвітницької </w:t>
      </w:r>
      <w:r w:rsidR="00BC7EC3">
        <w:rPr>
          <w:rFonts w:ascii="Times New Roman" w:hAnsi="Times New Roman" w:cs="Times New Roman"/>
          <w:sz w:val="28"/>
          <w:szCs w:val="28"/>
          <w:lang w:val="uk-UA"/>
        </w:rPr>
        <w:t>роботи закладів культури.</w:t>
      </w:r>
    </w:p>
    <w:p w:rsidR="00A4043A" w:rsidRPr="00A4043A" w:rsidRDefault="00A4043A" w:rsidP="004640F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4. </w:t>
      </w:r>
      <w:r w:rsidRPr="006367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Профілактика негативних явищ</w:t>
      </w:r>
    </w:p>
    <w:p w:rsidR="00003A94" w:rsidRPr="0063673E" w:rsidRDefault="00A4043A" w:rsidP="004640F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Залучення молоді до позашкільної освіти знижує ризики </w:t>
      </w:r>
      <w:r w:rsidR="00F21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поширення таких негативних явищ</w:t>
      </w: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</w:t>
      </w:r>
      <w:r w:rsidR="00F21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наркоманія, алкоголізм, правопорушення</w:t>
      </w:r>
      <w:r w:rsidR="00F21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F21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</w:t>
      </w:r>
      <w:r w:rsidR="00F214CD" w:rsidRPr="00F21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F21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ютерної</w:t>
      </w:r>
      <w:proofErr w:type="spellEnd"/>
      <w:r w:rsidR="00F21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залежності</w:t>
      </w: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тощо. Замість безцільного проведення часу, діти та підлітки мають можливість займатися корисною і цікавою діяльністю, що позитивно впливає на їхню поведінку та загальний розвиток.</w:t>
      </w:r>
    </w:p>
    <w:p w:rsidR="002B3212" w:rsidRPr="003C1418" w:rsidRDefault="002B3212" w:rsidP="004640F0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73E">
        <w:rPr>
          <w:rFonts w:ascii="Times New Roman" w:hAnsi="Times New Roman" w:cs="Times New Roman"/>
          <w:sz w:val="28"/>
          <w:szCs w:val="28"/>
          <w:lang w:val="uk-UA"/>
        </w:rPr>
        <w:t xml:space="preserve">Діти, які відвідують гуртки, розвивають свої індивідуальні таланти та знаходять себе у тій чи іншій сфері діяльності. Це допомагає їм реалізовувати себе, що знижує ймовірність того, що вони будуть залучені до негативних або руйнівних дій через брак конструктивних варіантів проведення часу. </w:t>
      </w:r>
      <w:r w:rsidRPr="003C1418">
        <w:rPr>
          <w:rFonts w:ascii="Times New Roman" w:hAnsi="Times New Roman" w:cs="Times New Roman"/>
          <w:sz w:val="28"/>
          <w:szCs w:val="28"/>
          <w:lang w:val="uk-UA"/>
        </w:rPr>
        <w:t>Вони вчаться бути відповідальними за свої дії та результати своєї роботи; приймають рішення, беруть на себе зобов'язання та отримують навички самодисципліни, що допомагає їм уникати негативних дій у майбутньому.</w:t>
      </w:r>
    </w:p>
    <w:p w:rsidR="00F214CD" w:rsidRDefault="00F214CD" w:rsidP="004640F0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</w:p>
    <w:p w:rsidR="003C1418" w:rsidRDefault="003C1418" w:rsidP="004640F0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>5.</w:t>
      </w:r>
      <w:r w:rsidR="00F214CD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673E">
        <w:rPr>
          <w:rStyle w:val="a5"/>
          <w:rFonts w:ascii="Times New Roman" w:hAnsi="Times New Roman" w:cs="Times New Roman"/>
          <w:sz w:val="28"/>
          <w:szCs w:val="28"/>
          <w:lang w:val="uk-UA"/>
        </w:rPr>
        <w:t>Професійне орієнтування</w:t>
      </w:r>
    </w:p>
    <w:p w:rsidR="003C1418" w:rsidRDefault="003C1418" w:rsidP="00464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3673E">
        <w:rPr>
          <w:rFonts w:ascii="Times New Roman" w:hAnsi="Times New Roman" w:cs="Times New Roman"/>
          <w:sz w:val="28"/>
          <w:szCs w:val="28"/>
          <w:lang w:val="uk-UA"/>
        </w:rPr>
        <w:t>Важливою функцією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освіти </w:t>
      </w:r>
      <w:r w:rsidRPr="0063673E">
        <w:rPr>
          <w:rFonts w:ascii="Times New Roman" w:hAnsi="Times New Roman" w:cs="Times New Roman"/>
          <w:sz w:val="28"/>
          <w:szCs w:val="28"/>
          <w:lang w:val="uk-UA"/>
        </w:rPr>
        <w:t xml:space="preserve"> є професійне орієнтування дітей. Багато гуртків і секцій спрямовані на те, щоб допомогти дитині визначитися з майбутньою професією через залучення до практичної діяльності у конкретних сферах — технічній, мистецькій, науковій або спортивній. Це дає дітям можливість зрозуміти, що їм ближче, і робити усвідомлений вибір професійного шляху.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науково-технічної, дитячої та юнацької творчості за останні 3 роки  має трьох випускників «Студії образотворчого мистецтва» та двох з «Хореографії», які продовжили навчання за обраним напрямом у вишах України.</w:t>
      </w:r>
    </w:p>
    <w:p w:rsidR="00A4043A" w:rsidRPr="00A4043A" w:rsidRDefault="003C1418" w:rsidP="004640F0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 w:rsidR="00A4043A" w:rsidRPr="00A4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. </w:t>
      </w:r>
      <w:r w:rsidR="00A4043A" w:rsidRPr="006367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Інтеграція та розвиток місцевого самоврядування</w:t>
      </w:r>
    </w:p>
    <w:p w:rsidR="00003A94" w:rsidRPr="0063673E" w:rsidRDefault="00A4043A" w:rsidP="00464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сучасних умовах децентралізації, територіальні громади мають більше повноважень і можливостей впливати на функціонування позашкільних закладів. Це дозволяє громадам визначати пріоритети розвитку таких установ, відповідно до місцевих потреб і можливостей. Спільна робота влади, батьків, педагогів та громадських організацій дозволяє створити ефективну систему позашкільної освіти, що відповідає інтересам місцевого населення.</w:t>
      </w:r>
    </w:p>
    <w:p w:rsidR="00EB1735" w:rsidRDefault="00EB1735" w:rsidP="00FE02C7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367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Виклики та перспективи інтеграції позашкільної освіти</w:t>
      </w:r>
    </w:p>
    <w:p w:rsidR="00EB1735" w:rsidRPr="0063673E" w:rsidRDefault="00EB1735" w:rsidP="00FE02C7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6367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місцеве самоврядування</w:t>
      </w:r>
    </w:p>
    <w:p w:rsidR="00EB1735" w:rsidRPr="00EB1735" w:rsidRDefault="00EB1735" w:rsidP="004640F0">
      <w:pPr>
        <w:pStyle w:val="a4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EB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Недостатня  матеріально-технічна база та фінансування  </w:t>
      </w:r>
    </w:p>
    <w:p w:rsidR="00EB1735" w:rsidRPr="000B141F" w:rsidRDefault="00EB1735" w:rsidP="004640F0">
      <w:pPr>
        <w:pStyle w:val="a4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B14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Однією з головних проблем, яка стоїть перед інтеграцією позашкільної освіти в місцеве самоврядування, є недостатн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 матеріально-технічна база та </w:t>
      </w:r>
      <w:r w:rsidRPr="000B14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фінансування. Багато громад не мають достатніх ресурсів для підтримки закладів позашкільної освіти, що призводить до зниження якості послуг або їхньої обмеженої кількості. </w:t>
      </w:r>
    </w:p>
    <w:p w:rsidR="00EB1735" w:rsidRPr="00E577E2" w:rsidRDefault="00EB1735" w:rsidP="004640F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ЦНТДЮТ  навчання у гуртках</w:t>
      </w:r>
      <w:r w:rsidRPr="000B14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безкоштовн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е. Але багато вихованців займаються в гуртках, де </w:t>
      </w:r>
      <w:r w:rsidRPr="000B14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потрібне спеціальне взуття, танцювальні костюми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інвентар (гуртки хореографії); гуртки декоративно-ужиткового напряму потребують постійного оновлення підручних матеріалів – </w:t>
      </w:r>
      <w:r w:rsidRPr="00F21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паперу,</w:t>
      </w:r>
      <w:r w:rsidR="00F21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F214CD" w:rsidRPr="00F21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різна </w:t>
      </w:r>
      <w:r w:rsidR="00F214CD" w:rsidRPr="00F21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lastRenderedPageBreak/>
        <w:t xml:space="preserve">фурнітура, </w:t>
      </w:r>
      <w:r w:rsidRPr="00F21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тканини</w:t>
      </w:r>
      <w:r w:rsidR="00F214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E577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оздоблювальний матеріал </w:t>
      </w:r>
      <w:r w:rsidR="008C07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обслуговування швейних машин; вокальні гуртки мають необхідність у забезпеченні сучасною акустичною системою (професійні мікрофони, </w:t>
      </w:r>
      <w:proofErr w:type="spellStart"/>
      <w:r w:rsidR="008C07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мікшерні</w:t>
      </w:r>
      <w:proofErr w:type="spellEnd"/>
      <w:r w:rsidR="008C07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пульти, студійне обладнання).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B14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от шахи таких додаткових витрат не потребують. Усе залежить від того, який це гурток і як фінансується позашкільна робота в громаді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Наявність у закладі освіти застарілого технічного обладнання (мультимедійне проектування) і відсутність комп‘ютерного обладнання гальмує розвиток якісної позашкільної освіти</w:t>
      </w:r>
      <w:r w:rsidR="00E577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адже за викликом часу МОН України спрямовує роботу щодо розвитку STEM-освіти як в закладах загальної середньої так і позашкільної освіти.</w:t>
      </w:r>
    </w:p>
    <w:p w:rsidR="00EB1735" w:rsidRDefault="00EB1735" w:rsidP="004640F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  Брак кваліфікованих фахівців</w:t>
      </w:r>
    </w:p>
    <w:p w:rsidR="00EB1735" w:rsidRPr="0063673E" w:rsidRDefault="00EB1735" w:rsidP="004640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36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Іншою проблемою є брак педагогів та фахівців, які можуть працювати у позашкільних закладах. Це особливо відчутно в сільських громадах, де можливості залучення висококваліфікованих кадрів обмежені. Підвищення кваліфікації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конкретним  напрямом діяльності</w:t>
      </w:r>
      <w:r w:rsidRPr="006367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підтримка педагогів є необхідними для розвитку позашкільної освіти.</w:t>
      </w:r>
    </w:p>
    <w:p w:rsidR="00003A94" w:rsidRPr="00A4043A" w:rsidRDefault="00003A94" w:rsidP="004640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A4043A" w:rsidRPr="00A4043A" w:rsidRDefault="00A4043A" w:rsidP="00FE02C7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Висновок</w:t>
      </w:r>
    </w:p>
    <w:p w:rsidR="00A4043A" w:rsidRPr="00A4043A" w:rsidRDefault="00A4043A" w:rsidP="004640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Позашкільні заклади в територіальній громаді — це не просто освітні установи. Вони є важливими осередками соціального, культурного і громадського життя, що сприяють гармонійному розвитку особистості, зміцненню громади та формуванню акт</w:t>
      </w:r>
      <w:r w:rsidR="008C07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ивних і відповідальних громадян, які відбудовуватимуть Україну та освічену націю.</w:t>
      </w:r>
      <w:r w:rsidRPr="00A404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Тому підтримка і розвиток таких закладів має бути одним із пріоритетів у діяльності місцевого самоврядування.</w:t>
      </w:r>
    </w:p>
    <w:p w:rsidR="00A4043A" w:rsidRDefault="00A4043A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735" w:rsidRDefault="00EB1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735" w:rsidRDefault="008C0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735" w:rsidRDefault="008C0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735" w:rsidRDefault="008C0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735" w:rsidRDefault="008C0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0735" w:rsidRDefault="008C0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4D61" w:rsidRDefault="000A4D61" w:rsidP="004640F0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B462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Літературні джерела:</w:t>
      </w:r>
    </w:p>
    <w:p w:rsidR="002B4625" w:rsidRPr="002B4625" w:rsidRDefault="002B4625" w:rsidP="004640F0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0735" w:rsidRDefault="008C0735" w:rsidP="004640F0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Владислава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Кріцька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//</w:t>
      </w:r>
      <w:r w:rsidRPr="000A4D61">
        <w:rPr>
          <w:rFonts w:ascii="Times New Roman" w:hAnsi="Times New Roman" w:cs="Times New Roman"/>
          <w:sz w:val="28"/>
          <w:szCs w:val="28"/>
          <w:lang w:val="uk-UA"/>
        </w:rPr>
        <w:t>Недоліки й порушення у сфері позашкільної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2023 р. </w:t>
      </w:r>
    </w:p>
    <w:p w:rsidR="008C0735" w:rsidRPr="008C0735" w:rsidRDefault="008C0735" w:rsidP="004640F0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lang w:val="uk-UA"/>
        </w:rPr>
      </w:pPr>
      <w:r w:rsidRPr="002B462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освітнього процесу в закладах позашкільної освіти у 2023/2024 </w:t>
      </w:r>
      <w:proofErr w:type="spellStart"/>
      <w:r w:rsidRPr="002B462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2B462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anchor="google_vignette" w:history="1">
        <w:r w:rsidRPr="009D41F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https://znayshov.com/News/Details/orhanizatsiia_osvitnoho_protsesu_v_zakladakh_pozashkilnoi_osvity_u_2024_2025#google_vignette</w:t>
        </w:r>
      </w:hyperlink>
    </w:p>
    <w:p w:rsidR="008C0735" w:rsidRPr="000A4D61" w:rsidRDefault="008C0735" w:rsidP="004640F0">
      <w:pPr>
        <w:pStyle w:val="a4"/>
        <w:numPr>
          <w:ilvl w:val="0"/>
          <w:numId w:val="8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D61">
        <w:rPr>
          <w:rFonts w:ascii="Times New Roman" w:hAnsi="Times New Roman" w:cs="Times New Roman"/>
          <w:sz w:val="28"/>
          <w:szCs w:val="28"/>
          <w:lang w:val="uk-UA"/>
        </w:rPr>
        <w:t>Позашкільна освіта – проблеми, пропозиції та нові формати роботи</w:t>
      </w:r>
    </w:p>
    <w:p w:rsidR="008C0735" w:rsidRDefault="0070523E" w:rsidP="004640F0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8C0735" w:rsidRPr="009D41F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https://eo.gov.ua/pozashkilna-osvita-problemy-propozytsii-ta-novi-formaty-roboty/2023/09/19/</w:t>
        </w:r>
      </w:hyperlink>
    </w:p>
    <w:p w:rsidR="000A4D61" w:rsidRPr="008C0735" w:rsidRDefault="000A4D61" w:rsidP="004640F0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lang w:val="uk-UA"/>
        </w:rPr>
      </w:pPr>
      <w:r w:rsidRPr="008C0735">
        <w:rPr>
          <w:rFonts w:ascii="Times New Roman" w:hAnsi="Times New Roman" w:cs="Times New Roman"/>
          <w:sz w:val="28"/>
          <w:szCs w:val="28"/>
          <w:lang w:val="uk-UA"/>
        </w:rPr>
        <w:t xml:space="preserve">Швейцарсько-український проект </w:t>
      </w:r>
      <w:r w:rsidRPr="008C0735">
        <w:rPr>
          <w:rFonts w:ascii="Times New Roman" w:hAnsi="Times New Roman" w:cs="Times New Roman"/>
          <w:sz w:val="28"/>
          <w:szCs w:val="28"/>
          <w:lang w:val="en-US"/>
        </w:rPr>
        <w:t>DECIDE</w:t>
      </w:r>
    </w:p>
    <w:p w:rsidR="00EB1735" w:rsidRDefault="0070523E" w:rsidP="004640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facebook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groups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decide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posts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/1873256826491641/?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paipv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=0&amp;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eav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AfYW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74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Xgx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tSoZTrs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9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Tjsaw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ifJN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QCeSbnE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qw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EYTBz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zPCRAB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3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NWwBGH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ikTlI</w:t>
        </w:r>
        <w:proofErr w:type="spellEnd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&amp;_</w:t>
        </w:r>
        <w:proofErr w:type="spellStart"/>
        <w:r w:rsidR="000A4D61" w:rsidRPr="000A4D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rdr</w:t>
        </w:r>
        <w:proofErr w:type="spellEnd"/>
      </w:hyperlink>
    </w:p>
    <w:p w:rsidR="000A4D61" w:rsidRDefault="000A4D61" w:rsidP="004640F0">
      <w:pPr>
        <w:pStyle w:val="a4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4625" w:rsidRPr="002B4625" w:rsidRDefault="002B4625" w:rsidP="004640F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D61" w:rsidRPr="000A4D61" w:rsidRDefault="000A4D61" w:rsidP="004640F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D61" w:rsidRPr="000A4D61" w:rsidRDefault="000A4D61" w:rsidP="004640F0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1735" w:rsidRDefault="00EB1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735" w:rsidRDefault="00EB1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735" w:rsidRDefault="00EB1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735" w:rsidRDefault="00EB1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735" w:rsidRDefault="00EB1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735" w:rsidRPr="0063673E" w:rsidRDefault="00EB1735" w:rsidP="004640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B1735" w:rsidRPr="0063673E" w:rsidSect="004640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45C5"/>
    <w:multiLevelType w:val="hybridMultilevel"/>
    <w:tmpl w:val="584A8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17758"/>
    <w:multiLevelType w:val="hybridMultilevel"/>
    <w:tmpl w:val="9FF4BDA8"/>
    <w:lvl w:ilvl="0" w:tplc="5658FF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1372C"/>
    <w:multiLevelType w:val="hybridMultilevel"/>
    <w:tmpl w:val="AE581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8484A"/>
    <w:multiLevelType w:val="hybridMultilevel"/>
    <w:tmpl w:val="7ADCE8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53975"/>
    <w:multiLevelType w:val="multilevel"/>
    <w:tmpl w:val="1E5AE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19D07F6"/>
    <w:multiLevelType w:val="hybridMultilevel"/>
    <w:tmpl w:val="729C30EE"/>
    <w:lvl w:ilvl="0" w:tplc="BD6688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64609"/>
    <w:multiLevelType w:val="hybridMultilevel"/>
    <w:tmpl w:val="60F40E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72C03"/>
    <w:multiLevelType w:val="hybridMultilevel"/>
    <w:tmpl w:val="495A4E32"/>
    <w:lvl w:ilvl="0" w:tplc="BA9227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4822"/>
    <w:rsid w:val="00003A94"/>
    <w:rsid w:val="00077A38"/>
    <w:rsid w:val="00094822"/>
    <w:rsid w:val="000A4D61"/>
    <w:rsid w:val="000B141F"/>
    <w:rsid w:val="00170B5F"/>
    <w:rsid w:val="0023663C"/>
    <w:rsid w:val="002B3212"/>
    <w:rsid w:val="002B4625"/>
    <w:rsid w:val="002D3D0D"/>
    <w:rsid w:val="003C1418"/>
    <w:rsid w:val="004640F0"/>
    <w:rsid w:val="004B2521"/>
    <w:rsid w:val="005B2166"/>
    <w:rsid w:val="0063673E"/>
    <w:rsid w:val="0070523E"/>
    <w:rsid w:val="00762669"/>
    <w:rsid w:val="008C0735"/>
    <w:rsid w:val="009310AB"/>
    <w:rsid w:val="009C2F91"/>
    <w:rsid w:val="00A4043A"/>
    <w:rsid w:val="00AD5CF7"/>
    <w:rsid w:val="00B532CB"/>
    <w:rsid w:val="00B9064B"/>
    <w:rsid w:val="00BB3819"/>
    <w:rsid w:val="00BC7EC3"/>
    <w:rsid w:val="00BE7459"/>
    <w:rsid w:val="00C35589"/>
    <w:rsid w:val="00DA47D6"/>
    <w:rsid w:val="00E577E2"/>
    <w:rsid w:val="00EB1735"/>
    <w:rsid w:val="00F214CD"/>
    <w:rsid w:val="00F96273"/>
    <w:rsid w:val="00F97173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3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4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043A"/>
    <w:pPr>
      <w:ind w:left="720"/>
      <w:contextualSpacing/>
    </w:pPr>
  </w:style>
  <w:style w:type="paragraph" w:customStyle="1" w:styleId="Standard">
    <w:name w:val="Standard"/>
    <w:rsid w:val="00F971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B532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3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4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043A"/>
    <w:pPr>
      <w:ind w:left="720"/>
      <w:contextualSpacing/>
    </w:pPr>
  </w:style>
  <w:style w:type="paragraph" w:customStyle="1" w:styleId="Standard">
    <w:name w:val="Standard"/>
    <w:rsid w:val="00F971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B53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0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decide.ua/posts/1873256826491641/?paipv=0&amp;eav=AfYW74Xgx5tSoZTrs9Tjsaw6ifJN1QCeSbnE1l2qw2EYTBz2zPCRAB3NWwBGH2ikTlI&amp;_rd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o.gov.ua/pozashkilna-osvita-problemy-propozytsii-ta-novi-formaty-roboty/2023/09/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yshov.com/News/Details/orhanizatsiia_osvitnoho_protsesu_v_zakladakh_pozashkilnoi_osvity_u_2024_20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6231</Words>
  <Characters>3552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2024-09-22T10:27:00Z</dcterms:created>
  <dcterms:modified xsi:type="dcterms:W3CDTF">2024-09-25T05:50:00Z</dcterms:modified>
</cp:coreProperties>
</file>